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宿松县总工会2021年一般公共预算“三公”经费预算</w:t>
      </w:r>
    </w:p>
    <w:p>
      <w:pPr>
        <w:rPr>
          <w:rFonts w:ascii="宋体" w:hAnsi="宋体"/>
          <w:sz w:val="6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一、2021年一般公共预算“三公”经费支出预算表</w:t>
      </w:r>
    </w:p>
    <w:p>
      <w:pPr>
        <w:adjustRightInd w:val="0"/>
        <w:snapToGrid w:val="0"/>
        <w:spacing w:line="360" w:lineRule="auto"/>
        <w:ind w:firstLine="411" w:firstLineChars="196"/>
        <w:jc w:val="right"/>
        <w:rPr>
          <w:rStyle w:val="6"/>
          <w:rFonts w:ascii="宋体" w:hAnsi="宋体"/>
          <w:b w:val="0"/>
          <w:bCs w:val="0"/>
          <w:szCs w:val="21"/>
        </w:rPr>
      </w:pPr>
      <w:r>
        <w:rPr>
          <w:rStyle w:val="6"/>
          <w:rFonts w:hint="eastAsia" w:ascii="宋体" w:hAnsi="宋体"/>
          <w:b w:val="0"/>
          <w:bCs w:val="0"/>
          <w:szCs w:val="21"/>
        </w:rPr>
        <w:t xml:space="preserve">      单位：万元</w:t>
      </w:r>
    </w:p>
    <w:tbl>
      <w:tblPr>
        <w:tblStyle w:val="4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851"/>
        <w:gridCol w:w="1718"/>
        <w:gridCol w:w="1825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</w:tr>
    </w:tbl>
    <w:p>
      <w:pPr>
        <w:spacing w:line="580" w:lineRule="exact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二、2021年一般公共预算“三公”经费支出预算情况说明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宿松县总工会2021年一般公共预算“三公”经费支出预算为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万元，与2</w:t>
      </w:r>
      <w:r>
        <w:rPr>
          <w:rFonts w:ascii="仿宋_GB2312" w:hAnsi="仿宋" w:eastAsia="仿宋_GB2312"/>
          <w:sz w:val="32"/>
          <w:szCs w:val="32"/>
        </w:rPr>
        <w:t>020</w:t>
      </w:r>
      <w:r>
        <w:rPr>
          <w:rFonts w:hint="eastAsia" w:ascii="仿宋_GB2312" w:hAnsi="仿宋" w:eastAsia="仿宋_GB2312"/>
          <w:sz w:val="32"/>
          <w:szCs w:val="32"/>
        </w:rPr>
        <w:t>年预算持平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，持平原因是经费使用严格执行《党政机关厉行节约反对浪费条例》以及市委市政府《关于进一步加强和改进公务接待工作的通知》和《宿松县县直机关公务接待管理暂行办法》等相关规定。</w:t>
      </w:r>
      <w:r>
        <w:rPr>
          <w:rFonts w:hint="eastAsia" w:ascii="仿宋_GB2312" w:hAnsi="仿宋" w:eastAsia="仿宋_GB2312"/>
          <w:sz w:val="32"/>
          <w:szCs w:val="32"/>
        </w:rPr>
        <w:t>其中：因公出国（境）费支出预算为0万元，公务接待费支出预算为4万元，公务用车购置及运行费支出预算为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万元。具体情况如下：</w:t>
      </w:r>
    </w:p>
    <w:p>
      <w:pPr>
        <w:pStyle w:val="3"/>
        <w:adjustRightInd w:val="0"/>
        <w:snapToGrid w:val="0"/>
        <w:spacing w:before="0" w:beforeAutospacing="0" w:after="0" w:afterAutospacing="0" w:line="540" w:lineRule="exact"/>
        <w:ind w:firstLine="643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（一）因公出国（境）费</w:t>
      </w:r>
      <w:r>
        <w:rPr>
          <w:rFonts w:hint="eastAsia" w:ascii="仿宋_GB2312" w:hAnsi="仿宋" w:eastAsia="仿宋_GB2312"/>
          <w:sz w:val="32"/>
          <w:szCs w:val="32"/>
        </w:rPr>
        <w:t>支出预算0万元, 与2020年预算持平，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原因是我单位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2020年、2021年均没有安排因公临时出国（境）计划。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经费使用严格执行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《安徽省省直</w:t>
      </w:r>
      <w:r>
        <w:rPr>
          <w:rFonts w:hint="eastAsia" w:ascii="仿宋_GB2312" w:hAnsi="仿宋" w:eastAsia="仿宋_GB2312"/>
          <w:sz w:val="32"/>
          <w:szCs w:val="32"/>
        </w:rPr>
        <w:t>党政机关因公临时出国经费管理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办法》（财行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104号）、《安徽省省直党政机关因公短期出国培训费用管理办法》（财行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527号）等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相关规定。</w:t>
      </w:r>
    </w:p>
    <w:p>
      <w:pPr>
        <w:pStyle w:val="3"/>
        <w:spacing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（二）公务接待费</w:t>
      </w:r>
      <w:r>
        <w:rPr>
          <w:rFonts w:hint="eastAsia" w:ascii="仿宋_GB2312" w:hAnsi="仿宋" w:eastAsia="仿宋_GB2312"/>
          <w:sz w:val="32"/>
          <w:szCs w:val="32"/>
        </w:rPr>
        <w:t>支出预算4万元，与2020年预算持平，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原因是严格公务接待管理。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该项经费主要用于接待上级业务检查、工作调研及工作督查、兄弟市县业务交流等。</w:t>
      </w:r>
      <w:r>
        <w:rPr>
          <w:rFonts w:hint="eastAsia" w:ascii="仿宋_GB2312" w:hAnsi="仿宋" w:eastAsia="仿宋_GB2312"/>
          <w:sz w:val="32"/>
          <w:szCs w:val="32"/>
        </w:rPr>
        <w:t>经费使用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严格执行</w:t>
      </w:r>
      <w:r>
        <w:rPr>
          <w:rFonts w:hint="eastAsia" w:ascii="仿宋_GB2312" w:hAnsi="仿宋" w:eastAsia="仿宋_GB2312"/>
          <w:sz w:val="32"/>
          <w:szCs w:val="32"/>
        </w:rPr>
        <w:t>《党政机关厉行节约反对浪费条例》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以及市委市政府《关于进一步加强和改进公务接待工作的通知》和</w:t>
      </w:r>
      <w:r>
        <w:rPr>
          <w:rFonts w:hint="eastAsia" w:ascii="仿宋_GB2312" w:hAnsi="仿宋" w:eastAsia="仿宋_GB2312"/>
          <w:sz w:val="32"/>
          <w:szCs w:val="32"/>
        </w:rPr>
        <w:t>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宿松县县直机关公务接待管理暂行办法》等</w:t>
      </w:r>
      <w:r>
        <w:rPr>
          <w:rFonts w:hint="eastAsia" w:ascii="仿宋_GB2312" w:hAnsi="仿宋" w:eastAsia="仿宋_GB2312"/>
          <w:sz w:val="32"/>
          <w:szCs w:val="32"/>
        </w:rPr>
        <w:t>相关规定。</w:t>
      </w:r>
    </w:p>
    <w:p>
      <w:pPr>
        <w:pStyle w:val="3"/>
        <w:adjustRightInd w:val="0"/>
        <w:snapToGrid w:val="0"/>
        <w:spacing w:line="54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（三）公务用车购置及运行费</w:t>
      </w:r>
      <w:r>
        <w:rPr>
          <w:rFonts w:hint="eastAsia" w:ascii="仿宋_GB2312" w:hAnsi="仿宋" w:eastAsia="仿宋_GB2312"/>
          <w:sz w:val="32"/>
          <w:szCs w:val="32"/>
        </w:rPr>
        <w:t>支出预算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万元，与2</w:t>
      </w:r>
      <w:r>
        <w:rPr>
          <w:rFonts w:ascii="仿宋_GB2312" w:hAnsi="仿宋" w:eastAsia="仿宋_GB2312"/>
          <w:sz w:val="32"/>
          <w:szCs w:val="32"/>
        </w:rPr>
        <w:t>020</w:t>
      </w:r>
      <w:r>
        <w:rPr>
          <w:rFonts w:hint="eastAsia" w:ascii="仿宋_GB2312" w:hAnsi="仿宋" w:eastAsia="仿宋_GB2312"/>
          <w:sz w:val="32"/>
          <w:szCs w:val="32"/>
        </w:rPr>
        <w:t>年预算持平。其中：公务用车运行费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万元，与2</w:t>
      </w:r>
      <w:r>
        <w:rPr>
          <w:rFonts w:ascii="仿宋_GB2312" w:hAnsi="仿宋" w:eastAsia="仿宋_GB2312"/>
          <w:sz w:val="32"/>
          <w:szCs w:val="32"/>
        </w:rPr>
        <w:t>020</w:t>
      </w:r>
      <w:r>
        <w:rPr>
          <w:rFonts w:hint="eastAsia" w:ascii="仿宋_GB2312" w:hAnsi="仿宋" w:eastAsia="仿宋_GB2312"/>
          <w:sz w:val="32"/>
          <w:szCs w:val="32"/>
        </w:rPr>
        <w:t>年预算持平，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原因是公车改革后我单位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公务用车；公务用车购置费0万元，与2020年预算持平，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原因是公车改革后我单位不再存在公车购置。</w:t>
      </w:r>
    </w:p>
    <w:p>
      <w:pPr>
        <w:pStyle w:val="3"/>
        <w:adjustRightInd w:val="0"/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3"/>
        <w:adjustRightInd w:val="0"/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联系方式：宿松县总工会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</w:p>
    <w:p>
      <w:pPr>
        <w:pStyle w:val="3"/>
        <w:adjustRightInd w:val="0"/>
        <w:snapToGrid w:val="0"/>
        <w:spacing w:line="54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电子邮箱：949317822@qq.com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hMmY5M2Y4ZTIyMWRiOWRmZGRmZWIzYmMzYmMzNTIifQ=="/>
  </w:docVars>
  <w:rsids>
    <w:rsidRoot w:val="00C4544F"/>
    <w:rsid w:val="00073769"/>
    <w:rsid w:val="003464FA"/>
    <w:rsid w:val="003E7809"/>
    <w:rsid w:val="00511220"/>
    <w:rsid w:val="007A0BE4"/>
    <w:rsid w:val="008F670A"/>
    <w:rsid w:val="00C4544F"/>
    <w:rsid w:val="00CE3447"/>
    <w:rsid w:val="00D54569"/>
    <w:rsid w:val="00FC299E"/>
    <w:rsid w:val="06020FA6"/>
    <w:rsid w:val="0F4F03A7"/>
    <w:rsid w:val="221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717</Characters>
  <Lines>5</Lines>
  <Paragraphs>1</Paragraphs>
  <TotalTime>6</TotalTime>
  <ScaleCrop>false</ScaleCrop>
  <LinksUpToDate>false</LinksUpToDate>
  <CharactersWithSpaces>724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2021-03-15T03:21:00Z</dcterms:created>
  <dc:creator>Administrator</dc:creator>
  <cp:lastModifiedBy>荟天゛</cp:lastModifiedBy>
  <dcterms:modified xsi:type="dcterms:W3CDTF">2022-07-20T10:15:43Z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947EDDC51D39435FAE199A0CC2544E9D</vt:lpwstr>
  </property>
</Properties>
</file>