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方正小标宋_GBK" w:hAnsi="宋体" w:eastAsia="方正小标宋_GBK" w:cs="宋体"/>
          <w:color w:val="000000"/>
          <w:sz w:val="36"/>
          <w:szCs w:val="36"/>
        </w:rPr>
      </w:pPr>
      <w:r>
        <w:rPr>
          <w:rFonts w:hint="eastAsia" w:ascii="黑体" w:hAnsi="黑体" w:eastAsia="黑体"/>
          <w:szCs w:val="32"/>
        </w:rPr>
        <w:t>附件</w:t>
      </w:r>
    </w:p>
    <w:p>
      <w:pPr>
        <w:adjustRightInd w:val="0"/>
        <w:snapToGrid w:val="0"/>
        <w:spacing w:line="600" w:lineRule="exact"/>
        <w:jc w:val="center"/>
        <w:rPr>
          <w:rFonts w:hint="eastAsia" w:ascii="方正小标宋_GBK" w:hAnsi="宋体" w:eastAsia="方正小标宋_GBK" w:cs="宋体"/>
          <w:color w:val="000000"/>
          <w:sz w:val="32"/>
          <w:szCs w:val="32"/>
        </w:rPr>
      </w:pPr>
      <w:r>
        <w:rPr>
          <w:rFonts w:hint="eastAsia" w:ascii="方正小标宋_GBK" w:hAnsi="宋体" w:eastAsia="方正小标宋_GBK" w:cs="宋体"/>
          <w:color w:val="000000"/>
          <w:sz w:val="32"/>
          <w:szCs w:val="32"/>
        </w:rPr>
        <w:t>2022年度项目支出绩效自评表及XX项目绩效评价报告</w:t>
      </w:r>
    </w:p>
    <w:p>
      <w:pPr>
        <w:adjustRightInd w:val="0"/>
        <w:snapToGrid w:val="0"/>
        <w:spacing w:line="600" w:lineRule="exact"/>
        <w:ind w:firstLine="720" w:firstLineChars="200"/>
        <w:rPr>
          <w:rFonts w:ascii="仿宋_GB2312" w:hAnsi="仿宋_GB2312" w:cs="仿宋_GB2312"/>
          <w:b/>
          <w:sz w:val="36"/>
          <w:szCs w:val="36"/>
        </w:rPr>
      </w:pPr>
      <w:r>
        <w:rPr>
          <w:rFonts w:hint="eastAsia" w:ascii="方正小标宋_GBK" w:hAnsi="宋体" w:eastAsia="方正小标宋_GBK" w:cs="宋体"/>
          <w:color w:val="000000"/>
          <w:sz w:val="36"/>
          <w:szCs w:val="36"/>
        </w:rPr>
        <w:t>第一部分 宿松县</w:t>
      </w:r>
      <w:r>
        <w:rPr>
          <w:rFonts w:hint="eastAsia" w:ascii="方正小标宋_GBK" w:hAnsi="宋体" w:eastAsia="方正小标宋_GBK" w:cs="宋体"/>
          <w:color w:val="000000"/>
          <w:sz w:val="36"/>
          <w:szCs w:val="36"/>
          <w:lang w:val="en-US" w:eastAsia="zh-CN"/>
        </w:rPr>
        <w:t>总工会</w:t>
      </w:r>
      <w:r>
        <w:rPr>
          <w:rFonts w:hint="eastAsia" w:ascii="方正小标宋_GBK" w:hAnsi="宋体" w:eastAsia="方正小标宋_GBK" w:cs="宋体"/>
          <w:color w:val="000000"/>
          <w:sz w:val="36"/>
          <w:szCs w:val="36"/>
        </w:rPr>
        <w:t>部门绩效自评项目清单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40" w:lineRule="exact"/>
              <w:jc w:val="center"/>
              <w:rPr>
                <w:rFonts w:ascii="方正小标宋_GBK" w:hAnsi="宋体" w:eastAsia="方正小标宋_GBK" w:cs="宋体"/>
                <w:color w:val="000000"/>
                <w:sz w:val="44"/>
                <w:szCs w:val="44"/>
              </w:rPr>
            </w:pPr>
            <w:r>
              <w:rPr>
                <w:rFonts w:hint="eastAsia" w:ascii="仿宋_GB2312" w:hAnsi="仿宋_GB2312" w:cs="仿宋_GB2312"/>
                <w:b/>
                <w:szCs w:val="32"/>
              </w:rPr>
              <w:t>序号</w:t>
            </w:r>
          </w:p>
        </w:tc>
        <w:tc>
          <w:tcPr>
            <w:tcW w:w="2841" w:type="dxa"/>
            <w:noWrap w:val="0"/>
            <w:vAlign w:val="top"/>
          </w:tcPr>
          <w:p>
            <w:pPr>
              <w:spacing w:line="540" w:lineRule="exact"/>
              <w:jc w:val="center"/>
              <w:rPr>
                <w:rFonts w:ascii="方正小标宋_GBK" w:hAnsi="宋体" w:eastAsia="方正小标宋_GBK" w:cs="宋体"/>
                <w:color w:val="000000"/>
                <w:sz w:val="44"/>
                <w:szCs w:val="44"/>
              </w:rPr>
            </w:pPr>
            <w:r>
              <w:rPr>
                <w:rFonts w:hint="eastAsia" w:ascii="仿宋_GB2312" w:hAnsi="仿宋_GB2312" w:cs="仿宋_GB2312"/>
                <w:b/>
                <w:szCs w:val="32"/>
              </w:rPr>
              <w:t>项目名称</w:t>
            </w:r>
          </w:p>
        </w:tc>
        <w:tc>
          <w:tcPr>
            <w:tcW w:w="2841" w:type="dxa"/>
            <w:noWrap w:val="0"/>
            <w:vAlign w:val="top"/>
          </w:tcPr>
          <w:p>
            <w:pPr>
              <w:spacing w:line="540" w:lineRule="exact"/>
              <w:jc w:val="center"/>
              <w:rPr>
                <w:rFonts w:hint="eastAsia" w:ascii="方正小标宋_GBK" w:hAnsi="宋体" w:eastAsia="方正小标宋_GBK" w:cs="宋体"/>
                <w:color w:val="000000"/>
                <w:sz w:val="44"/>
                <w:szCs w:val="44"/>
              </w:rPr>
            </w:pPr>
            <w:r>
              <w:rPr>
                <w:rFonts w:hint="eastAsia" w:ascii="仿宋_GB2312" w:hAnsi="仿宋_GB2312" w:cs="仿宋_GB2312"/>
                <w:b/>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40" w:lineRule="exact"/>
              <w:jc w:val="center"/>
              <w:rPr>
                <w:rFonts w:hint="eastAsia" w:ascii="仿宋_GB2312" w:hAnsi="仿宋_GB2312" w:cs="仿宋_GB2312"/>
                <w:b/>
                <w:szCs w:val="32"/>
              </w:rPr>
            </w:pPr>
            <w:r>
              <w:rPr>
                <w:rFonts w:hint="eastAsia" w:ascii="仿宋_GB2312" w:hAnsi="仿宋_GB2312" w:cs="仿宋_GB2312"/>
                <w:b/>
                <w:szCs w:val="32"/>
              </w:rPr>
              <w:t>1</w:t>
            </w:r>
          </w:p>
        </w:tc>
        <w:tc>
          <w:tcPr>
            <w:tcW w:w="2841" w:type="dxa"/>
            <w:noWrap w:val="0"/>
            <w:vAlign w:val="top"/>
          </w:tcPr>
          <w:p>
            <w:pPr>
              <w:spacing w:line="540" w:lineRule="exact"/>
              <w:jc w:val="center"/>
              <w:rPr>
                <w:rFonts w:hint="default" w:ascii="方正小标宋_GBK" w:hAnsi="宋体" w:eastAsia="方正小标宋_GBK" w:cs="宋体"/>
                <w:color w:val="000000"/>
                <w:sz w:val="44"/>
                <w:szCs w:val="44"/>
                <w:lang w:val="en-US" w:eastAsia="zh-CN"/>
              </w:rPr>
            </w:pPr>
            <w:r>
              <w:rPr>
                <w:rFonts w:hint="eastAsia" w:ascii="仿宋_GB2312" w:hAnsi="仿宋_GB2312" w:cs="仿宋_GB2312"/>
                <w:b/>
                <w:szCs w:val="32"/>
                <w:lang w:val="en-US" w:eastAsia="zh-CN"/>
              </w:rPr>
              <w:t>工会经费</w:t>
            </w:r>
          </w:p>
        </w:tc>
        <w:tc>
          <w:tcPr>
            <w:tcW w:w="2841" w:type="dxa"/>
            <w:noWrap w:val="0"/>
            <w:vAlign w:val="top"/>
          </w:tcPr>
          <w:p>
            <w:pPr>
              <w:spacing w:line="540" w:lineRule="exact"/>
              <w:jc w:val="center"/>
              <w:rPr>
                <w:rFonts w:hint="eastAsia" w:ascii="方正小标宋_GBK" w:hAnsi="宋体" w:eastAsia="方正小标宋_GBK" w:cs="宋体"/>
                <w:color w:val="000000"/>
                <w:sz w:val="44"/>
                <w:szCs w:val="44"/>
              </w:rPr>
            </w:pPr>
          </w:p>
        </w:tc>
      </w:tr>
    </w:tbl>
    <w:p>
      <w:pPr>
        <w:pStyle w:val="3"/>
        <w:jc w:val="center"/>
        <w:rPr>
          <w:rFonts w:hint="default" w:ascii="方正小标宋_GBK" w:hAnsi="宋体" w:eastAsia="方正小标宋_GBK" w:cs="宋体"/>
          <w:color w:val="000000"/>
          <w:kern w:val="2"/>
          <w:sz w:val="36"/>
          <w:szCs w:val="36"/>
          <w:lang w:val="en-US" w:eastAsia="zh-CN" w:bidi="ar-SA"/>
        </w:rPr>
      </w:pPr>
    </w:p>
    <w:p>
      <w:pPr>
        <w:spacing w:line="560" w:lineRule="exact"/>
        <w:ind w:firstLine="640" w:firstLineChars="200"/>
        <w:rPr>
          <w:rFonts w:hint="eastAsia" w:ascii="仿宋_GB2312" w:hAnsi="仿宋_GB2312" w:cs="仿宋_GB2312"/>
          <w:bCs/>
          <w:szCs w:val="32"/>
        </w:rPr>
      </w:pPr>
      <w:r>
        <w:rPr>
          <w:rFonts w:hint="eastAsia" w:ascii="仿宋_GB2312" w:hAnsi="仿宋_GB2312" w:cs="仿宋_GB2312"/>
          <w:bCs/>
          <w:szCs w:val="32"/>
          <w:lang w:val="en-US" w:eastAsia="zh-CN"/>
        </w:rPr>
        <w:t>工会经费</w:t>
      </w:r>
      <w:r>
        <w:rPr>
          <w:rFonts w:hint="eastAsia" w:ascii="仿宋_GB2312" w:hAnsi="仿宋_GB2312" w:cs="仿宋_GB2312"/>
          <w:bCs/>
          <w:szCs w:val="32"/>
        </w:rPr>
        <w:t>项目的《项目支出绩效自评表》。</w:t>
      </w:r>
    </w:p>
    <w:tbl>
      <w:tblPr>
        <w:tblStyle w:val="4"/>
        <w:tblW w:w="9572" w:type="dxa"/>
        <w:jc w:val="center"/>
        <w:tblLayout w:type="fixed"/>
        <w:tblCellMar>
          <w:top w:w="0" w:type="dxa"/>
          <w:left w:w="108" w:type="dxa"/>
          <w:bottom w:w="0" w:type="dxa"/>
          <w:right w:w="108" w:type="dxa"/>
        </w:tblCellMar>
      </w:tblPr>
      <w:tblGrid>
        <w:gridCol w:w="588"/>
        <w:gridCol w:w="980"/>
        <w:gridCol w:w="1112"/>
        <w:gridCol w:w="730"/>
        <w:gridCol w:w="1134"/>
        <w:gridCol w:w="284"/>
        <w:gridCol w:w="836"/>
        <w:gridCol w:w="865"/>
        <w:gridCol w:w="283"/>
        <w:gridCol w:w="284"/>
        <w:gridCol w:w="425"/>
        <w:gridCol w:w="142"/>
        <w:gridCol w:w="709"/>
        <w:gridCol w:w="1200"/>
      </w:tblGrid>
      <w:tr>
        <w:tblPrEx>
          <w:tblCellMar>
            <w:top w:w="0" w:type="dxa"/>
            <w:left w:w="108" w:type="dxa"/>
            <w:bottom w:w="0" w:type="dxa"/>
            <w:right w:w="108" w:type="dxa"/>
          </w:tblCellMar>
        </w:tblPrEx>
        <w:trPr>
          <w:trHeight w:val="784" w:hRule="exact"/>
          <w:jc w:val="center"/>
        </w:trPr>
        <w:tc>
          <w:tcPr>
            <w:tcW w:w="9572" w:type="dxa"/>
            <w:gridSpan w:val="14"/>
            <w:tcBorders>
              <w:top w:val="nil"/>
              <w:left w:val="nil"/>
              <w:bottom w:val="nil"/>
              <w:right w:val="nil"/>
            </w:tcBorders>
            <w:noWrap w:val="0"/>
            <w:vAlign w:val="center"/>
          </w:tcPr>
          <w:p>
            <w:pPr>
              <w:widowControl/>
              <w:spacing w:line="400" w:lineRule="exact"/>
              <w:jc w:val="center"/>
              <w:rPr>
                <w:rFonts w:hint="eastAsia" w:ascii="方正小标宋简体" w:hAnsi="宋体" w:eastAsia="方正小标宋简体" w:cs="宋体"/>
                <w:bCs/>
                <w:kern w:val="0"/>
                <w:szCs w:val="32"/>
              </w:rPr>
            </w:pPr>
            <w:r>
              <w:rPr>
                <w:rFonts w:hint="eastAsia" w:ascii="方正小标宋简体" w:hAnsi="宋体" w:eastAsia="方正小标宋简体" w:cs="宋体"/>
                <w:bCs/>
                <w:kern w:val="0"/>
                <w:sz w:val="36"/>
                <w:szCs w:val="36"/>
              </w:rPr>
              <w:t>宿松县</w:t>
            </w:r>
            <w:r>
              <w:rPr>
                <w:rFonts w:hint="eastAsia" w:ascii="方正小标宋简体" w:hAnsi="宋体" w:eastAsia="方正小标宋简体" w:cs="宋体"/>
                <w:bCs/>
                <w:kern w:val="0"/>
                <w:sz w:val="36"/>
                <w:szCs w:val="36"/>
                <w:lang w:val="en-US" w:eastAsia="zh-CN"/>
              </w:rPr>
              <w:t>总工会工会经费</w:t>
            </w:r>
            <w:r>
              <w:rPr>
                <w:rFonts w:hint="eastAsia" w:ascii="方正小标宋简体" w:hAnsi="宋体" w:eastAsia="方正小标宋简体" w:cs="宋体"/>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572"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2022年度）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 目 名 称</w:t>
            </w:r>
          </w:p>
        </w:tc>
        <w:tc>
          <w:tcPr>
            <w:tcW w:w="800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2022年度</w:t>
            </w:r>
            <w:r>
              <w:rPr>
                <w:rFonts w:hint="eastAsia" w:ascii="宋体" w:hAnsi="宋体" w:eastAsia="宋体" w:cs="宋体"/>
                <w:kern w:val="0"/>
                <w:sz w:val="18"/>
                <w:szCs w:val="18"/>
                <w:lang w:val="en-US" w:eastAsia="zh-CN"/>
              </w:rPr>
              <w:t>工会经费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 管 部 门</w:t>
            </w:r>
          </w:p>
        </w:tc>
        <w:tc>
          <w:tcPr>
            <w:tcW w:w="40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7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宿松县总工会</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11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11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7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  期  目  标</w:t>
            </w:r>
          </w:p>
        </w:tc>
        <w:tc>
          <w:tcPr>
            <w:tcW w:w="390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 际 完 成 情 况</w:t>
            </w:r>
          </w:p>
        </w:tc>
      </w:tr>
      <w:tr>
        <w:tblPrEx>
          <w:tblCellMar>
            <w:top w:w="0" w:type="dxa"/>
            <w:left w:w="108" w:type="dxa"/>
            <w:bottom w:w="0" w:type="dxa"/>
            <w:right w:w="108" w:type="dxa"/>
          </w:tblCellMar>
        </w:tblPrEx>
        <w:trPr>
          <w:trHeight w:val="206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7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目标1：维护机关聘用人员的工资福利开支。</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目标2：维护机关日常运营开支。</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目标3：开展维护职工合法权益等宣传工作。</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目标4：开展学习宣传系列活动。</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目标5：开展各项文体活动。</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目标6：开展“工会送岗位·乐业在江淮”就业援助活动。</w:t>
            </w:r>
          </w:p>
          <w:p>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rPr>
              <w:t>目标7：开展女职工“两癌”筛查活动。</w:t>
            </w:r>
          </w:p>
        </w:tc>
        <w:tc>
          <w:tcPr>
            <w:tcW w:w="390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目标1：维护机关聘用人员的工资福利开支。</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目标2：维护机关日常运营开支。</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目标3：开展维护职工合法权益等宣传工作。</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目标4：开展学习宣传系列活动。</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目标5：开展各项文体活动。</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目标6：开展“工会送岗位·乐业在江淮”就业援助活动。</w:t>
            </w:r>
          </w:p>
          <w:p>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rPr>
              <w:t>目标7：开展女职工“两癌”筛查活动。</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指标1：开展维护职工合法权益等宣传工作。</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≧10场次</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指标2：开展学习宣传系列活动。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≧2场次</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指标3：</w:t>
            </w:r>
            <w:r>
              <w:rPr>
                <w:rFonts w:hint="eastAsia" w:ascii="宋体" w:hAnsi="宋体" w:eastAsia="宋体" w:cs="宋体"/>
                <w:color w:val="000000"/>
                <w:kern w:val="0"/>
                <w:sz w:val="18"/>
                <w:szCs w:val="18"/>
              </w:rPr>
              <w:t>开展各项文体活动。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≧3场次</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指标4：开展“工会送岗位·乐业在江淮”就业援助活动。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≧2场次</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指标5：开展女职工“两癌”筛查活动。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≦100人</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7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指标1：全年各项活动开展达标率。</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指标2：资金支出的合规性。</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指标1：全年各项活动开展工作完成率。</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指标2：职工合法权益宣传工作完成时间。</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≦12月</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12月底完成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3：学习宣传系列活动完成时间。</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≦12月</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12月底完成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指标4：</w:t>
            </w:r>
            <w:r>
              <w:rPr>
                <w:rFonts w:hint="eastAsia" w:ascii="宋体" w:hAnsi="宋体" w:eastAsia="宋体" w:cs="宋体"/>
                <w:color w:val="000000"/>
                <w:kern w:val="0"/>
                <w:sz w:val="18"/>
                <w:szCs w:val="18"/>
              </w:rPr>
              <w:t>各项文体活动完成时间。</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≦12月</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12月底完成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指标5：“工会送岗位·乐业在江淮”就业援助活动。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≦12月</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12月底完成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指标6：开展女职工“两癌”筛查活动。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≦12月</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12月底完成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指标1：保障社会招聘职工薪资福利费用。</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≧52万元</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指标2：职工活动和服务支出。</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≧25万元</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w:t>
            </w:r>
            <w:r>
              <w:rPr>
                <w:rFonts w:hint="eastAsia" w:ascii="宋体" w:hAnsi="宋体" w:eastAsia="宋体" w:cs="宋体"/>
                <w:color w:val="000000"/>
                <w:kern w:val="0"/>
                <w:sz w:val="18"/>
                <w:szCs w:val="18"/>
              </w:rPr>
              <w:t>机关日常运营开支。</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≧54.2万元</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54.2万元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5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指标1：提升扩大宿松县总工会对外影响，增强全县职工的幸福感、获得感、安全感。</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良好</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良好</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指标1：持续提升工会品牌，在职工中形成有较大影响力。</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长期持续影响</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长期持续影响</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指标1：服务对象的满意度。</w:t>
            </w:r>
          </w:p>
        </w:tc>
        <w:tc>
          <w:tcPr>
            <w:tcW w:w="8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8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pStyle w:val="3"/>
        <w:rPr>
          <w:rFonts w:hint="eastAsia" w:ascii="方正小标宋_GBK" w:hAnsi="宋体" w:eastAsia="方正小标宋_GBK" w:cs="宋体"/>
          <w:color w:val="000000"/>
          <w:sz w:val="44"/>
          <w:szCs w:val="44"/>
        </w:rPr>
      </w:pPr>
    </w:p>
    <w:p>
      <w:pPr>
        <w:pStyle w:val="3"/>
        <w:rPr>
          <w:rFonts w:hint="eastAsia" w:ascii="方正小标宋_GBK" w:hAnsi="宋体" w:eastAsia="方正小标宋_GBK" w:cs="宋体"/>
          <w:color w:val="000000"/>
          <w:szCs w:val="36"/>
        </w:rPr>
      </w:pPr>
    </w:p>
    <w:p>
      <w:pPr>
        <w:pStyle w:val="3"/>
        <w:rPr>
          <w:rFonts w:hint="eastAsia" w:ascii="方正小标宋_GBK" w:hAnsi="宋体" w:eastAsia="方正小标宋_GBK" w:cs="宋体"/>
          <w:color w:val="000000"/>
          <w:szCs w:val="36"/>
        </w:rPr>
      </w:pPr>
    </w:p>
    <w:p>
      <w:pPr>
        <w:pStyle w:val="3"/>
        <w:rPr>
          <w:rFonts w:hint="eastAsia" w:ascii="方正小标宋_GBK" w:hAnsi="宋体" w:eastAsia="方正小标宋_GBK" w:cs="宋体"/>
          <w:color w:val="000000"/>
          <w:szCs w:val="36"/>
        </w:rPr>
      </w:pPr>
    </w:p>
    <w:p>
      <w:pPr>
        <w:pStyle w:val="3"/>
        <w:rPr>
          <w:rFonts w:hint="eastAsia" w:ascii="方正小标宋_GBK" w:hAnsi="宋体" w:eastAsia="方正小标宋_GBK" w:cs="宋体"/>
          <w:color w:val="000000"/>
          <w:szCs w:val="36"/>
        </w:rPr>
      </w:pPr>
      <w:bookmarkStart w:id="0" w:name="_GoBack"/>
      <w:bookmarkEnd w:id="0"/>
    </w:p>
    <w:p>
      <w:pPr>
        <w:pStyle w:val="3"/>
        <w:numPr>
          <w:ilvl w:val="0"/>
          <w:numId w:val="0"/>
        </w:numPr>
        <w:jc w:val="center"/>
        <w:rPr>
          <w:rFonts w:ascii="方正小标宋_GBK" w:hAnsi="宋体" w:eastAsia="方正小标宋_GBK" w:cs="宋体"/>
          <w:color w:val="000000"/>
          <w:szCs w:val="36"/>
        </w:rPr>
      </w:pPr>
      <w:r>
        <w:rPr>
          <w:rFonts w:hint="eastAsia" w:ascii="方正小标宋_GBK" w:hAnsi="宋体" w:eastAsia="方正小标宋_GBK" w:cs="宋体"/>
          <w:color w:val="000000"/>
          <w:szCs w:val="36"/>
          <w:lang w:val="en-US" w:eastAsia="zh-CN"/>
        </w:rPr>
        <w:t xml:space="preserve">第二部分 </w:t>
      </w:r>
      <w:r>
        <w:rPr>
          <w:rFonts w:hint="eastAsia" w:ascii="方正小标宋_GBK" w:hAnsi="宋体" w:eastAsia="方正小标宋_GBK" w:cs="宋体"/>
          <w:color w:val="000000"/>
          <w:szCs w:val="36"/>
        </w:rPr>
        <w:t>部门评价报告</w:t>
      </w:r>
    </w:p>
    <w:p>
      <w:pPr>
        <w:spacing w:line="540" w:lineRule="exact"/>
        <w:jc w:val="center"/>
        <w:rPr>
          <w:rFonts w:hint="eastAsia" w:ascii="方正小标宋_GBK" w:eastAsia="方正小标宋_GBK"/>
          <w:sz w:val="36"/>
          <w:szCs w:val="36"/>
        </w:rPr>
      </w:pPr>
      <w:r>
        <w:rPr>
          <w:rFonts w:hint="eastAsia" w:ascii="方正小标宋_GBK" w:hAnsi="宋体" w:eastAsia="方正小标宋_GBK" w:cs="宋体"/>
          <w:color w:val="000000"/>
          <w:sz w:val="36"/>
          <w:szCs w:val="36"/>
        </w:rPr>
        <w:t>2022年度</w:t>
      </w:r>
      <w:r>
        <w:rPr>
          <w:rFonts w:hint="eastAsia" w:ascii="方正小标宋_GBK" w:hAnsi="宋体" w:eastAsia="方正小标宋_GBK" w:cs="宋体"/>
          <w:color w:val="000000"/>
          <w:sz w:val="36"/>
          <w:szCs w:val="36"/>
          <w:lang w:val="en-US" w:eastAsia="zh-CN"/>
        </w:rPr>
        <w:t>工会经费</w:t>
      </w:r>
      <w:r>
        <w:rPr>
          <w:rFonts w:hint="eastAsia" w:ascii="方正小标宋_GBK" w:hAnsi="Arial" w:eastAsia="方正小标宋_GBK" w:cs="Arial"/>
          <w:sz w:val="36"/>
          <w:szCs w:val="36"/>
        </w:rPr>
        <w:t>项目支出绩效评价报告</w:t>
      </w:r>
    </w:p>
    <w:p>
      <w:pPr>
        <w:pStyle w:val="3"/>
        <w:rPr>
          <w:rFonts w:hint="eastAsia"/>
        </w:rPr>
      </w:pPr>
    </w:p>
    <w:p>
      <w:pPr>
        <w:spacing w:line="580" w:lineRule="exact"/>
        <w:ind w:firstLine="643" w:firstLineChars="200"/>
        <w:rPr>
          <w:rFonts w:hint="eastAsia" w:ascii="仿宋_GB2312" w:hAnsi="仿宋_GB2312" w:cs="仿宋_GB2312"/>
          <w:b/>
          <w:bCs/>
          <w:szCs w:val="32"/>
        </w:rPr>
      </w:pPr>
      <w:r>
        <w:rPr>
          <w:rFonts w:hint="eastAsia" w:ascii="仿宋_GB2312" w:hAnsi="仿宋_GB2312" w:cs="仿宋_GB2312"/>
          <w:b/>
          <w:bCs/>
          <w:szCs w:val="32"/>
        </w:rPr>
        <w:t>一、基本情况</w:t>
      </w:r>
    </w:p>
    <w:p>
      <w:pPr>
        <w:spacing w:line="580" w:lineRule="exact"/>
        <w:ind w:firstLine="640" w:firstLineChars="200"/>
        <w:outlineLvl w:val="0"/>
        <w:rPr>
          <w:rFonts w:hint="eastAsia" w:ascii="仿宋_GB2312" w:hAnsi="仿宋_GB2312" w:cs="仿宋_GB2312"/>
          <w:szCs w:val="32"/>
        </w:rPr>
      </w:pPr>
      <w:r>
        <w:rPr>
          <w:rFonts w:hint="eastAsia" w:ascii="仿宋_GB2312" w:hAnsi="仿宋_GB2312" w:cs="仿宋_GB2312"/>
          <w:szCs w:val="32"/>
        </w:rPr>
        <w:t>（一）项目概况。</w:t>
      </w:r>
    </w:p>
    <w:p>
      <w:pPr>
        <w:spacing w:line="580" w:lineRule="exact"/>
        <w:ind w:firstLine="640" w:firstLineChars="200"/>
        <w:outlineLvl w:val="0"/>
        <w:rPr>
          <w:rFonts w:hint="eastAsia" w:ascii="仿宋_GB2312" w:hAnsi="仿宋_GB2312" w:cs="仿宋_GB2312"/>
          <w:szCs w:val="32"/>
        </w:rPr>
      </w:pPr>
      <w:r>
        <w:rPr>
          <w:rFonts w:hint="eastAsia" w:ascii="仿宋_GB2312" w:hAnsi="宋体" w:eastAsia="仿宋_GB2312"/>
          <w:sz w:val="32"/>
          <w:szCs w:val="32"/>
          <w:lang w:val="en-US" w:eastAsia="zh-CN"/>
        </w:rPr>
        <w:t>更好地维护职工权益，组织开展多类型的职工活动，是县委、县政府明确的经常性项目，设立的全县工会经费项目</w:t>
      </w:r>
      <w:r>
        <w:rPr>
          <w:rFonts w:ascii="仿宋_GB2312" w:hAnsi="仿宋_GB2312" w:eastAsia="仿宋_GB2312" w:cs="仿宋_GB2312"/>
          <w:sz w:val="32"/>
          <w:szCs w:val="32"/>
        </w:rPr>
        <w:t>。</w:t>
      </w:r>
    </w:p>
    <w:p>
      <w:pPr>
        <w:numPr>
          <w:ilvl w:val="0"/>
          <w:numId w:val="1"/>
        </w:numPr>
        <w:spacing w:line="260" w:lineRule="atLeast"/>
        <w:ind w:firstLine="640" w:firstLineChars="200"/>
        <w:jc w:val="both"/>
        <w:rPr>
          <w:rFonts w:hint="eastAsia" w:ascii="仿宋_GB2312" w:hAnsi="仿宋_GB2312" w:cs="仿宋_GB2312"/>
          <w:szCs w:val="32"/>
        </w:rPr>
      </w:pPr>
      <w:r>
        <w:rPr>
          <w:rFonts w:hint="eastAsia" w:ascii="仿宋_GB2312" w:hAnsi="仿宋_GB2312" w:cs="仿宋_GB2312"/>
          <w:szCs w:val="32"/>
        </w:rPr>
        <w:t>项目绩效目标。</w:t>
      </w:r>
    </w:p>
    <w:p>
      <w:pPr>
        <w:spacing w:line="580" w:lineRule="exact"/>
        <w:ind w:firstLine="640" w:firstLineChars="200"/>
        <w:rPr>
          <w:rFonts w:hint="eastAsia"/>
          <w:lang w:val="en-US" w:eastAsia="zh-CN"/>
        </w:rPr>
      </w:pPr>
      <w:r>
        <w:rPr>
          <w:rFonts w:hint="eastAsia"/>
          <w:lang w:val="en-US" w:eastAsia="zh-CN"/>
        </w:rPr>
        <w:t>目标1：维护机关在职及退休人员的工资福利开支。</w:t>
      </w:r>
    </w:p>
    <w:p>
      <w:pPr>
        <w:spacing w:line="580" w:lineRule="exact"/>
        <w:ind w:firstLine="640" w:firstLineChars="200"/>
        <w:rPr>
          <w:rFonts w:hint="eastAsia"/>
          <w:lang w:val="en-US" w:eastAsia="zh-CN"/>
        </w:rPr>
      </w:pPr>
      <w:r>
        <w:rPr>
          <w:rFonts w:hint="eastAsia"/>
          <w:lang w:val="en-US" w:eastAsia="zh-CN"/>
        </w:rPr>
        <w:t>目标2：维护机关日常运营开支。</w:t>
      </w:r>
    </w:p>
    <w:p>
      <w:pPr>
        <w:spacing w:line="580" w:lineRule="exact"/>
        <w:ind w:firstLine="640" w:firstLineChars="200"/>
        <w:rPr>
          <w:rFonts w:hint="eastAsia"/>
          <w:lang w:val="en-US" w:eastAsia="zh-CN"/>
        </w:rPr>
      </w:pPr>
      <w:r>
        <w:rPr>
          <w:rFonts w:hint="eastAsia"/>
          <w:lang w:val="en-US" w:eastAsia="zh-CN"/>
        </w:rPr>
        <w:t>目标3：开展维护职工合法权益宣传工作。</w:t>
      </w:r>
    </w:p>
    <w:p>
      <w:pPr>
        <w:spacing w:line="580" w:lineRule="exact"/>
        <w:ind w:firstLine="640" w:firstLineChars="200"/>
        <w:rPr>
          <w:rFonts w:hint="eastAsia"/>
          <w:lang w:val="en-US" w:eastAsia="zh-CN"/>
        </w:rPr>
      </w:pPr>
      <w:r>
        <w:rPr>
          <w:rFonts w:hint="eastAsia"/>
          <w:lang w:val="en-US" w:eastAsia="zh-CN"/>
        </w:rPr>
        <w:t>目标4：开展劳模宣讲系列活动。</w:t>
      </w:r>
    </w:p>
    <w:p>
      <w:pPr>
        <w:spacing w:line="580" w:lineRule="exact"/>
        <w:ind w:firstLine="640" w:firstLineChars="200"/>
        <w:rPr>
          <w:rFonts w:hint="eastAsia"/>
          <w:lang w:val="en-US" w:eastAsia="zh-CN"/>
        </w:rPr>
      </w:pPr>
      <w:r>
        <w:rPr>
          <w:rFonts w:hint="eastAsia"/>
          <w:lang w:val="en-US" w:eastAsia="zh-CN"/>
        </w:rPr>
        <w:t>目标5：开展全县职工运动会。</w:t>
      </w:r>
    </w:p>
    <w:p>
      <w:pPr>
        <w:spacing w:line="580" w:lineRule="exact"/>
        <w:ind w:firstLine="640" w:firstLineChars="200"/>
        <w:rPr>
          <w:rFonts w:hint="eastAsia"/>
          <w:lang w:val="en-US" w:eastAsia="zh-CN"/>
        </w:rPr>
      </w:pPr>
      <w:r>
        <w:rPr>
          <w:rFonts w:hint="eastAsia"/>
          <w:lang w:val="en-US" w:eastAsia="zh-CN"/>
        </w:rPr>
        <w:t>目标6：开展女职工维权普法活动。</w:t>
      </w:r>
    </w:p>
    <w:p>
      <w:pPr>
        <w:spacing w:line="580" w:lineRule="exact"/>
        <w:ind w:firstLine="640" w:firstLineChars="200"/>
        <w:rPr>
          <w:rFonts w:hint="eastAsia"/>
          <w:lang w:val="en-US" w:eastAsia="zh-CN"/>
        </w:rPr>
      </w:pPr>
      <w:r>
        <w:rPr>
          <w:rFonts w:hint="eastAsia"/>
          <w:lang w:val="en-US" w:eastAsia="zh-CN"/>
        </w:rPr>
        <w:t>目标7：开展“皖工鹊桥·会聚良缘”青年职工联谊交友活动。</w:t>
      </w:r>
    </w:p>
    <w:p>
      <w:pPr>
        <w:spacing w:line="580" w:lineRule="exact"/>
        <w:ind w:firstLine="640" w:firstLineChars="200"/>
        <w:rPr>
          <w:rFonts w:hint="eastAsia"/>
          <w:lang w:val="en-US" w:eastAsia="zh-CN"/>
        </w:rPr>
      </w:pPr>
      <w:r>
        <w:rPr>
          <w:rFonts w:hint="eastAsia"/>
          <w:lang w:val="en-US" w:eastAsia="zh-CN"/>
        </w:rPr>
        <w:t>目标8：开展女职工“两癌”筛查活动。</w:t>
      </w:r>
    </w:p>
    <w:p>
      <w:pPr>
        <w:spacing w:line="580" w:lineRule="exact"/>
        <w:ind w:firstLine="640" w:firstLineChars="200"/>
        <w:rPr>
          <w:rFonts w:hint="eastAsia" w:ascii="仿宋_GB2312" w:hAnsi="仿宋_GB2312" w:cs="仿宋_GB2312"/>
          <w:b/>
          <w:bCs/>
          <w:szCs w:val="32"/>
        </w:rPr>
      </w:pPr>
      <w:r>
        <w:rPr>
          <w:rFonts w:hint="eastAsia"/>
          <w:lang w:val="en-US" w:eastAsia="zh-CN"/>
        </w:rPr>
        <w:t>二、</w:t>
      </w:r>
      <w:r>
        <w:rPr>
          <w:rFonts w:hint="eastAsia" w:ascii="仿宋_GB2312" w:hAnsi="仿宋_GB2312" w:cs="仿宋_GB2312"/>
          <w:b/>
          <w:bCs/>
          <w:szCs w:val="32"/>
        </w:rPr>
        <w:t>绩效评价工作开展情况</w:t>
      </w:r>
    </w:p>
    <w:p>
      <w:pPr>
        <w:spacing w:line="580" w:lineRule="exact"/>
        <w:ind w:firstLine="640" w:firstLineChars="200"/>
        <w:rPr>
          <w:rFonts w:hint="eastAsia" w:ascii="仿宋_GB2312" w:hAnsi="仿宋_GB2312" w:cs="仿宋_GB2312"/>
          <w:szCs w:val="32"/>
        </w:rPr>
      </w:pPr>
      <w:r>
        <w:rPr>
          <w:rFonts w:hint="eastAsia" w:ascii="仿宋_GB2312" w:hAnsi="仿宋_GB2312" w:cs="仿宋_GB2312"/>
          <w:szCs w:val="32"/>
        </w:rPr>
        <w:t>（一）绩效评价目的、对象和范围。</w:t>
      </w:r>
    </w:p>
    <w:p>
      <w:pPr>
        <w:spacing w:line="540" w:lineRule="exact"/>
        <w:ind w:firstLine="600"/>
        <w:rPr>
          <w:rFonts w:hint="eastAsia" w:ascii="仿宋" w:hAnsi="仿宋" w:eastAsia="仿宋"/>
          <w:sz w:val="32"/>
          <w:lang w:eastAsia="zh-CN"/>
        </w:rPr>
      </w:pPr>
      <w:r>
        <w:rPr>
          <w:rFonts w:hint="eastAsia" w:ascii="仿宋_GB2312" w:hAnsi="仿宋_GB2312" w:cs="仿宋_GB2312"/>
          <w:sz w:val="32"/>
          <w:szCs w:val="32"/>
          <w:lang w:val="en-US" w:eastAsia="zh-CN"/>
        </w:rPr>
        <w:t>1、绩效评价目的：</w:t>
      </w:r>
      <w:r>
        <w:rPr>
          <w:rFonts w:hint="eastAsia" w:ascii="仿宋" w:hAnsi="仿宋" w:eastAsia="仿宋"/>
          <w:sz w:val="32"/>
        </w:rPr>
        <w:t>规范本单位项目支出绩效管理，提高单位绩效支出科学化规范化水平</w:t>
      </w:r>
      <w:r>
        <w:rPr>
          <w:rFonts w:hint="eastAsia" w:ascii="仿宋" w:hAnsi="仿宋" w:eastAsia="仿宋"/>
          <w:sz w:val="32"/>
          <w:lang w:eastAsia="zh-CN"/>
        </w:rPr>
        <w:t>。</w:t>
      </w:r>
    </w:p>
    <w:p>
      <w:pPr>
        <w:spacing w:line="540" w:lineRule="exact"/>
        <w:ind w:firstLine="600"/>
        <w:rPr>
          <w:rFonts w:hint="eastAsia" w:ascii="仿宋" w:hAnsi="仿宋" w:eastAsia="仿宋"/>
          <w:b w:val="0"/>
          <w:bCs/>
          <w:sz w:val="32"/>
          <w:lang w:val="en-US" w:eastAsia="zh-CN"/>
        </w:rPr>
      </w:pPr>
      <w:r>
        <w:rPr>
          <w:rFonts w:hint="eastAsia" w:ascii="仿宋" w:hAnsi="仿宋" w:eastAsia="仿宋"/>
          <w:sz w:val="32"/>
          <w:lang w:val="en-US" w:eastAsia="zh-CN"/>
        </w:rPr>
        <w:t>2、绩效评价对象：</w:t>
      </w:r>
      <w:r>
        <w:rPr>
          <w:rFonts w:hint="eastAsia" w:ascii="仿宋" w:hAnsi="仿宋" w:eastAsia="仿宋"/>
          <w:b w:val="0"/>
          <w:bCs/>
          <w:sz w:val="32"/>
          <w:lang w:val="en-US" w:eastAsia="zh-CN"/>
        </w:rPr>
        <w:t>部门整体支出绩效评价。</w:t>
      </w:r>
    </w:p>
    <w:p>
      <w:pPr>
        <w:spacing w:line="580" w:lineRule="exact"/>
        <w:ind w:firstLine="640" w:firstLineChars="200"/>
        <w:rPr>
          <w:rFonts w:hint="eastAsia" w:ascii="仿宋_GB2312" w:hAnsi="仿宋_GB2312" w:cs="仿宋_GB2312"/>
          <w:szCs w:val="32"/>
        </w:rPr>
      </w:pPr>
      <w:r>
        <w:rPr>
          <w:rFonts w:hint="eastAsia" w:ascii="仿宋" w:hAnsi="仿宋" w:eastAsia="仿宋"/>
          <w:b w:val="0"/>
          <w:bCs/>
          <w:sz w:val="32"/>
          <w:lang w:val="en-US" w:eastAsia="zh-CN"/>
        </w:rPr>
        <w:t>3、</w:t>
      </w:r>
      <w:r>
        <w:rPr>
          <w:rFonts w:hint="eastAsia"/>
          <w:lang w:val="en-US" w:eastAsia="zh-CN"/>
        </w:rPr>
        <w:t>绩效评价范围：</w:t>
      </w:r>
      <w:r>
        <w:rPr>
          <w:rFonts w:hint="eastAsia" w:ascii="仿宋" w:hAnsi="仿宋" w:eastAsia="仿宋"/>
          <w:sz w:val="32"/>
        </w:rPr>
        <w:t>202</w:t>
      </w:r>
      <w:r>
        <w:rPr>
          <w:rFonts w:hint="eastAsia" w:ascii="仿宋" w:hAnsi="仿宋" w:eastAsia="仿宋"/>
          <w:sz w:val="32"/>
          <w:lang w:val="en-US" w:eastAsia="zh-CN"/>
        </w:rPr>
        <w:t>2</w:t>
      </w:r>
      <w:r>
        <w:rPr>
          <w:rFonts w:hint="eastAsia" w:ascii="仿宋" w:hAnsi="仿宋" w:eastAsia="仿宋"/>
          <w:sz w:val="32"/>
        </w:rPr>
        <w:t>年度一般公共预算、政府性基金预算、社保基金预算、国有资本经营预算、上级安排的转移支付资金和其它资金（含上年度结转资金），全部纳入绩效评价范围</w:t>
      </w:r>
      <w:r>
        <w:rPr>
          <w:rFonts w:hint="eastAsia" w:ascii="仿宋" w:hAnsi="仿宋" w:eastAsia="仿宋"/>
          <w:sz w:val="32"/>
          <w:lang w:eastAsia="zh-CN"/>
        </w:rPr>
        <w:t>。</w:t>
      </w:r>
    </w:p>
    <w:p>
      <w:pPr>
        <w:spacing w:line="580" w:lineRule="exact"/>
        <w:ind w:firstLine="640" w:firstLineChars="200"/>
        <w:rPr>
          <w:rFonts w:hint="eastAsia" w:ascii="仿宋_GB2312" w:hAnsi="仿宋_GB2312" w:cs="仿宋_GB2312"/>
          <w:szCs w:val="32"/>
        </w:rPr>
      </w:pPr>
      <w:r>
        <w:rPr>
          <w:rFonts w:hint="eastAsia" w:ascii="仿宋_GB2312" w:hAnsi="仿宋_GB2312" w:cs="仿宋_GB2312"/>
          <w:szCs w:val="32"/>
        </w:rPr>
        <w:t>（二）绩效评价原则、评价指标体系（附表说明）、评价方法、评价标准等。</w:t>
      </w:r>
    </w:p>
    <w:p>
      <w:pPr>
        <w:spacing w:line="540" w:lineRule="exact"/>
        <w:ind w:firstLine="600"/>
        <w:rPr>
          <w:rFonts w:hint="eastAsia" w:ascii="仿宋_GB2312" w:hAnsi="仿宋_GB2312" w:cs="仿宋_GB2312"/>
          <w:szCs w:val="32"/>
        </w:rPr>
      </w:pPr>
      <w:r>
        <w:rPr>
          <w:rFonts w:hint="eastAsia" w:ascii="仿宋" w:hAnsi="仿宋" w:eastAsia="仿宋" w:cs="仿宋"/>
          <w:b w:val="0"/>
          <w:bCs/>
          <w:lang w:val="en-US" w:eastAsia="zh-CN"/>
        </w:rPr>
        <w:t>本次绩效评价本着科学、公正、突出重点、绩效优先的原则。评价指标体系依据设定的绩效目标或工作任务，即按照计划标准对绩效指标完成情况进行比较，对整体支出项目的经济性、效率性和公平性进行客观、公正的测量、分析和评判。评价方法按照财绩（2020）335号《宿松县全面实施预算绩效管理实施办法》规定的指标体系框架及评价办法，主要采用成本效益分析法、比较法和因素分析法。评价标准根据财绩（2020）335号《宿松县全面实施预算绩效管理实施办法》制定，总分设置为100分，等级划分为四档：90（含）-100分为优、80（含）-90分为良、60（含）-80分为中、60分以下为差。</w:t>
      </w:r>
    </w:p>
    <w:p>
      <w:pPr>
        <w:numPr>
          <w:ilvl w:val="0"/>
          <w:numId w:val="1"/>
        </w:numPr>
        <w:spacing w:line="580" w:lineRule="exact"/>
        <w:ind w:left="0" w:leftChars="0" w:firstLine="640" w:firstLineChars="200"/>
        <w:rPr>
          <w:rFonts w:hint="eastAsia" w:ascii="仿宋_GB2312" w:hAnsi="仿宋_GB2312" w:cs="仿宋_GB2312"/>
          <w:szCs w:val="32"/>
        </w:rPr>
      </w:pPr>
      <w:r>
        <w:rPr>
          <w:rFonts w:hint="eastAsia" w:ascii="仿宋_GB2312" w:hAnsi="仿宋_GB2312" w:cs="仿宋_GB2312"/>
          <w:szCs w:val="32"/>
        </w:rPr>
        <w:t>绩效评价工作过程。</w:t>
      </w:r>
    </w:p>
    <w:p>
      <w:pPr>
        <w:numPr>
          <w:ilvl w:val="0"/>
          <w:numId w:val="0"/>
        </w:numPr>
        <w:spacing w:line="540" w:lineRule="exact"/>
        <w:ind w:firstLine="640" w:firstLineChars="200"/>
        <w:rPr>
          <w:rFonts w:hint="eastAsia" w:ascii="仿宋_GB2312" w:hAnsi="仿宋_GB2312" w:cs="仿宋_GB2312"/>
          <w:szCs w:val="32"/>
        </w:rPr>
      </w:pPr>
      <w:r>
        <w:rPr>
          <w:rFonts w:hint="eastAsia" w:ascii="仿宋" w:hAnsi="仿宋" w:eastAsia="仿宋" w:cs="仿宋"/>
          <w:b w:val="0"/>
          <w:bCs/>
          <w:lang w:val="en-US" w:eastAsia="zh-CN"/>
        </w:rPr>
        <w:t>县总工会严格按照《宿松县全面实施预算绩效管理实施细则（试行）》文件要求，启动预算绩效管理工作，制定本单位预算绩效实施方案，切实做好2022年度部门整体支出绩效自评，认真填写自评表和自评报告。</w:t>
      </w:r>
    </w:p>
    <w:p>
      <w:pPr>
        <w:numPr>
          <w:ilvl w:val="0"/>
          <w:numId w:val="2"/>
        </w:numPr>
        <w:spacing w:line="580" w:lineRule="exact"/>
        <w:ind w:firstLine="643" w:firstLineChars="200"/>
        <w:rPr>
          <w:rFonts w:hint="eastAsia" w:ascii="仿宋_GB2312" w:hAnsi="仿宋_GB2312" w:cs="仿宋_GB2312"/>
          <w:b/>
          <w:bCs/>
          <w:szCs w:val="32"/>
        </w:rPr>
      </w:pPr>
      <w:r>
        <w:rPr>
          <w:rFonts w:hint="eastAsia" w:ascii="仿宋_GB2312" w:hAnsi="仿宋_GB2312" w:cs="仿宋_GB2312"/>
          <w:b/>
          <w:bCs/>
          <w:szCs w:val="32"/>
        </w:rPr>
        <w:t>综合评价情况及评价结论（附相关评分表）</w:t>
      </w:r>
    </w:p>
    <w:p>
      <w:pPr>
        <w:spacing w:line="540" w:lineRule="exact"/>
        <w:ind w:firstLine="600"/>
        <w:rPr>
          <w:rFonts w:hint="eastAsia" w:ascii="仿宋" w:hAnsi="仿宋" w:eastAsia="仿宋" w:cs="仿宋"/>
          <w:b w:val="0"/>
          <w:bCs/>
          <w:lang w:val="en-US" w:eastAsia="zh-CN"/>
        </w:rPr>
      </w:pPr>
      <w:r>
        <w:rPr>
          <w:rFonts w:hint="eastAsia" w:ascii="仿宋" w:hAnsi="仿宋" w:eastAsia="仿宋" w:cs="仿宋"/>
          <w:b w:val="0"/>
          <w:bCs/>
          <w:lang w:val="en-US" w:eastAsia="zh-CN"/>
        </w:rPr>
        <w:t>根据绩效评价评分标准，宿松县总工会各项指标进行评价并打分，最终部门整体支出绩效评价综合得分为100分，评价等级为“优”。</w:t>
      </w:r>
    </w:p>
    <w:p>
      <w:pPr>
        <w:spacing w:line="580" w:lineRule="exact"/>
        <w:ind w:firstLine="643" w:firstLineChars="200"/>
        <w:rPr>
          <w:rFonts w:hint="eastAsia" w:ascii="仿宋_GB2312" w:hAnsi="仿宋_GB2312" w:cs="仿宋_GB2312"/>
          <w:b/>
          <w:bCs/>
          <w:szCs w:val="32"/>
        </w:rPr>
      </w:pPr>
      <w:r>
        <w:rPr>
          <w:rFonts w:hint="eastAsia" w:ascii="仿宋_GB2312" w:hAnsi="仿宋_GB2312" w:cs="仿宋_GB2312"/>
          <w:b/>
          <w:bCs/>
          <w:szCs w:val="32"/>
        </w:rPr>
        <w:t>四、绩效评价指标分析</w:t>
      </w:r>
    </w:p>
    <w:p>
      <w:pPr>
        <w:spacing w:line="580" w:lineRule="exact"/>
        <w:ind w:firstLine="640" w:firstLineChars="200"/>
        <w:outlineLvl w:val="0"/>
        <w:rPr>
          <w:rFonts w:hint="eastAsia" w:ascii="仿宋_GB2312" w:hAnsi="仿宋_GB2312" w:cs="仿宋_GB2312"/>
          <w:szCs w:val="32"/>
        </w:rPr>
      </w:pPr>
      <w:r>
        <w:rPr>
          <w:rFonts w:hint="eastAsia" w:ascii="仿宋_GB2312" w:hAnsi="仿宋_GB2312" w:cs="仿宋_GB2312"/>
          <w:szCs w:val="32"/>
        </w:rPr>
        <w:t>（一）项目决策情况。</w:t>
      </w:r>
    </w:p>
    <w:p>
      <w:pPr>
        <w:spacing w:line="580" w:lineRule="exact"/>
        <w:ind w:firstLine="640" w:firstLineChars="200"/>
        <w:outlineLvl w:val="0"/>
        <w:rPr>
          <w:rFonts w:hint="eastAsia" w:ascii="仿宋_GB2312" w:hAnsi="仿宋_GB2312" w:cs="仿宋_GB2312"/>
          <w:szCs w:val="32"/>
        </w:rPr>
      </w:pPr>
      <w:r>
        <w:rPr>
          <w:rFonts w:hint="eastAsia" w:ascii="仿宋" w:hAnsi="仿宋" w:eastAsia="仿宋" w:cs="仿宋"/>
          <w:b w:val="0"/>
          <w:bCs/>
          <w:lang w:val="en-US" w:eastAsia="zh-CN"/>
        </w:rPr>
        <w:t>按照上级有关部门统一部署，绩效评价领导小组集体研究，制定了可行性研究报告。</w:t>
      </w:r>
    </w:p>
    <w:p>
      <w:pPr>
        <w:numPr>
          <w:ilvl w:val="0"/>
          <w:numId w:val="0"/>
        </w:numPr>
        <w:spacing w:line="580" w:lineRule="exact"/>
        <w:ind w:firstLine="640" w:firstLineChars="200"/>
        <w:outlineLvl w:val="0"/>
        <w:rPr>
          <w:rFonts w:hint="eastAsia" w:ascii="仿宋_GB2312" w:hAnsi="仿宋_GB2312" w:cs="仿宋_GB231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cs="仿宋_GB2312"/>
          <w:szCs w:val="32"/>
        </w:rPr>
        <w:t>项目过程情况。</w:t>
      </w:r>
    </w:p>
    <w:p>
      <w:pPr>
        <w:numPr>
          <w:ilvl w:val="0"/>
          <w:numId w:val="0"/>
        </w:numPr>
        <w:spacing w:line="540" w:lineRule="exact"/>
        <w:ind w:firstLine="640" w:firstLineChars="200"/>
        <w:outlineLvl w:val="0"/>
        <w:rPr>
          <w:rFonts w:hint="eastAsia" w:ascii="仿宋_GB2312" w:hAnsi="仿宋_GB2312" w:cs="仿宋_GB2312"/>
          <w:szCs w:val="32"/>
        </w:rPr>
      </w:pPr>
      <w:r>
        <w:rPr>
          <w:rFonts w:hint="eastAsia" w:ascii="仿宋" w:hAnsi="仿宋" w:eastAsia="仿宋" w:cs="仿宋"/>
          <w:b w:val="0"/>
          <w:bCs/>
          <w:lang w:val="en-US" w:eastAsia="zh-CN"/>
        </w:rPr>
        <w:t>资金预算完成率高，资金使用合规性、公开预决算信息及时性较好，资产管理制度健全，固定资产利用率较高。</w:t>
      </w:r>
    </w:p>
    <w:p>
      <w:pPr>
        <w:numPr>
          <w:ilvl w:val="0"/>
          <w:numId w:val="0"/>
        </w:numPr>
        <w:spacing w:line="580" w:lineRule="exact"/>
        <w:ind w:left="0" w:leftChars="0" w:firstLine="640" w:firstLineChars="200"/>
        <w:outlineLvl w:val="0"/>
        <w:rPr>
          <w:rFonts w:hint="eastAsia" w:ascii="仿宋_GB2312" w:hAnsi="仿宋_GB2312" w:cs="仿宋_GB231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cs="仿宋_GB2312"/>
          <w:szCs w:val="32"/>
        </w:rPr>
        <w:t>项目产出情况。</w:t>
      </w:r>
    </w:p>
    <w:p>
      <w:pPr>
        <w:numPr>
          <w:ilvl w:val="0"/>
          <w:numId w:val="0"/>
        </w:numPr>
        <w:spacing w:line="580" w:lineRule="exact"/>
        <w:ind w:left="0" w:leftChars="0" w:firstLine="640" w:firstLineChars="200"/>
        <w:outlineLvl w:val="0"/>
        <w:rPr>
          <w:rFonts w:hint="eastAsia" w:ascii="仿宋_GB2312" w:hAnsi="仿宋_GB2312" w:cs="仿宋_GB2312"/>
          <w:szCs w:val="32"/>
        </w:rPr>
      </w:pPr>
      <w:r>
        <w:rPr>
          <w:rFonts w:ascii="仿宋" w:hAnsi="仿宋" w:eastAsia="仿宋" w:cs="仿宋"/>
          <w:b w:val="0"/>
          <w:kern w:val="2"/>
          <w:sz w:val="32"/>
          <w:szCs w:val="32"/>
        </w:rPr>
        <w:t>宿松县总工会在</w:t>
      </w:r>
      <w:r>
        <w:rPr>
          <w:rFonts w:hint="eastAsia" w:ascii="仿宋" w:hAnsi="仿宋" w:eastAsia="仿宋" w:cs="仿宋"/>
          <w:b w:val="0"/>
          <w:kern w:val="2"/>
          <w:sz w:val="32"/>
          <w:szCs w:val="32"/>
          <w:lang w:eastAsia="zh-CN"/>
        </w:rPr>
        <w:t>省</w:t>
      </w:r>
      <w:r>
        <w:rPr>
          <w:rFonts w:ascii="仿宋" w:hAnsi="仿宋" w:eastAsia="仿宋" w:cs="仿宋"/>
          <w:b w:val="0"/>
          <w:kern w:val="2"/>
          <w:sz w:val="32"/>
          <w:szCs w:val="32"/>
        </w:rPr>
        <w:t>总工会和县委的坚强领导下，以习近平新时代中国特色社会主义思想</w:t>
      </w:r>
      <w:r>
        <w:rPr>
          <w:rFonts w:hint="eastAsia" w:ascii="仿宋" w:hAnsi="仿宋" w:eastAsia="仿宋" w:cs="仿宋"/>
          <w:b w:val="0"/>
          <w:kern w:val="2"/>
          <w:sz w:val="32"/>
          <w:szCs w:val="32"/>
          <w:lang w:eastAsia="zh-CN"/>
        </w:rPr>
        <w:t>和</w:t>
      </w:r>
      <w:r>
        <w:rPr>
          <w:rFonts w:ascii="仿宋" w:hAnsi="仿宋" w:eastAsia="仿宋" w:cs="仿宋"/>
          <w:b w:val="0"/>
          <w:kern w:val="2"/>
          <w:sz w:val="32"/>
          <w:szCs w:val="32"/>
        </w:rPr>
        <w:t>党的十九大和十九届二中、三中、四中、五中全会精神为指导，深入学习习近平总书记</w:t>
      </w:r>
      <w:r>
        <w:rPr>
          <w:rFonts w:hint="eastAsia" w:ascii="仿宋" w:hAnsi="仿宋" w:eastAsia="仿宋" w:cs="仿宋"/>
          <w:b w:val="0"/>
          <w:kern w:val="2"/>
          <w:sz w:val="32"/>
          <w:szCs w:val="32"/>
          <w:lang w:eastAsia="zh-CN"/>
        </w:rPr>
        <w:t>考察安徽重要讲话精神和在全国劳动模范和先进工作者表彰大会上的重要讲话精神，紧紧围绕</w:t>
      </w:r>
      <w:r>
        <w:rPr>
          <w:rFonts w:ascii="仿宋" w:hAnsi="仿宋" w:eastAsia="仿宋" w:cs="仿宋"/>
          <w:b w:val="0"/>
          <w:kern w:val="2"/>
          <w:sz w:val="32"/>
          <w:szCs w:val="32"/>
        </w:rPr>
        <w:t>省总工会</w:t>
      </w:r>
      <w:r>
        <w:rPr>
          <w:rFonts w:hint="eastAsia" w:ascii="仿宋" w:hAnsi="仿宋" w:eastAsia="仿宋" w:cs="仿宋"/>
          <w:b w:val="0"/>
          <w:kern w:val="2"/>
          <w:sz w:val="32"/>
          <w:szCs w:val="32"/>
          <w:lang w:eastAsia="zh-CN"/>
        </w:rPr>
        <w:t>“</w:t>
      </w:r>
      <w:r>
        <w:rPr>
          <w:rFonts w:hint="eastAsia" w:ascii="仿宋" w:hAnsi="仿宋" w:eastAsia="仿宋" w:cs="仿宋"/>
          <w:b w:val="0"/>
          <w:kern w:val="2"/>
          <w:sz w:val="32"/>
          <w:szCs w:val="32"/>
          <w:lang w:val="en-US" w:eastAsia="zh-CN"/>
        </w:rPr>
        <w:t>42101</w:t>
      </w:r>
      <w:r>
        <w:rPr>
          <w:rFonts w:hint="eastAsia" w:ascii="仿宋" w:hAnsi="仿宋" w:eastAsia="仿宋" w:cs="仿宋"/>
          <w:b w:val="0"/>
          <w:kern w:val="2"/>
          <w:sz w:val="32"/>
          <w:szCs w:val="32"/>
          <w:lang w:eastAsia="zh-CN"/>
        </w:rPr>
        <w:t>”</w:t>
      </w:r>
      <w:r>
        <w:rPr>
          <w:rFonts w:ascii="仿宋" w:hAnsi="仿宋" w:eastAsia="仿宋" w:cs="仿宋"/>
          <w:b w:val="0"/>
          <w:kern w:val="2"/>
          <w:sz w:val="32"/>
          <w:szCs w:val="32"/>
        </w:rPr>
        <w:t>工作部署，积极履行工会职</w:t>
      </w:r>
      <w:r>
        <w:rPr>
          <w:rFonts w:hint="eastAsia" w:ascii="仿宋" w:hAnsi="仿宋" w:eastAsia="仿宋" w:cs="仿宋"/>
          <w:b w:val="0"/>
          <w:kern w:val="2"/>
          <w:sz w:val="32"/>
          <w:szCs w:val="32"/>
          <w:lang w:eastAsia="zh-CN"/>
        </w:rPr>
        <w:t>责</w:t>
      </w:r>
      <w:r>
        <w:rPr>
          <w:rFonts w:ascii="仿宋" w:hAnsi="仿宋" w:eastAsia="仿宋" w:cs="仿宋"/>
          <w:b w:val="0"/>
          <w:kern w:val="2"/>
          <w:sz w:val="32"/>
          <w:szCs w:val="32"/>
        </w:rPr>
        <w:t>，全县工会工作不断进步，为全县经济社会</w:t>
      </w:r>
      <w:r>
        <w:rPr>
          <w:rFonts w:hint="eastAsia" w:ascii="仿宋" w:hAnsi="仿宋" w:eastAsia="仿宋" w:cs="仿宋"/>
          <w:b w:val="0"/>
          <w:kern w:val="2"/>
          <w:sz w:val="32"/>
          <w:szCs w:val="32"/>
          <w:lang w:eastAsia="zh-CN"/>
        </w:rPr>
        <w:t>发展</w:t>
      </w:r>
      <w:r>
        <w:rPr>
          <w:rFonts w:ascii="仿宋" w:hAnsi="仿宋" w:eastAsia="仿宋" w:cs="仿宋"/>
          <w:b w:val="0"/>
          <w:kern w:val="2"/>
          <w:sz w:val="32"/>
          <w:szCs w:val="32"/>
        </w:rPr>
        <w:t>进步作出了重要贡献</w:t>
      </w:r>
      <w:r>
        <w:rPr>
          <w:rFonts w:hint="eastAsia" w:ascii="仿宋" w:hAnsi="仿宋" w:eastAsia="仿宋" w:cs="仿宋"/>
          <w:b w:val="0"/>
          <w:kern w:val="2"/>
          <w:sz w:val="32"/>
          <w:szCs w:val="32"/>
          <w:lang w:eastAsia="zh-CN"/>
        </w:rPr>
        <w:t>。</w:t>
      </w:r>
    </w:p>
    <w:p>
      <w:pPr>
        <w:numPr>
          <w:ilvl w:val="0"/>
          <w:numId w:val="1"/>
        </w:numPr>
        <w:spacing w:line="580" w:lineRule="exact"/>
        <w:ind w:left="0" w:leftChars="0" w:firstLine="640" w:firstLineChars="200"/>
        <w:outlineLvl w:val="0"/>
        <w:rPr>
          <w:rFonts w:hint="eastAsia" w:ascii="仿宋_GB2312" w:hAnsi="仿宋_GB2312" w:cs="仿宋_GB2312"/>
          <w:szCs w:val="32"/>
        </w:rPr>
      </w:pPr>
      <w:r>
        <w:rPr>
          <w:rFonts w:hint="eastAsia" w:ascii="仿宋_GB2312" w:hAnsi="仿宋_GB2312" w:cs="仿宋_GB2312"/>
          <w:szCs w:val="32"/>
        </w:rPr>
        <w:t>项目效益情况。</w:t>
      </w:r>
    </w:p>
    <w:p>
      <w:pPr>
        <w:numPr>
          <w:ilvl w:val="0"/>
          <w:numId w:val="0"/>
        </w:numPr>
        <w:spacing w:line="540" w:lineRule="exact"/>
        <w:ind w:firstLine="640" w:firstLineChars="200"/>
        <w:outlineLvl w:val="0"/>
        <w:rPr>
          <w:rFonts w:hint="eastAsia" w:ascii="仿宋_GB2312" w:hAnsi="仿宋_GB2312" w:cs="仿宋_GB2312"/>
          <w:szCs w:val="32"/>
        </w:rPr>
      </w:pPr>
      <w:r>
        <w:rPr>
          <w:rFonts w:hint="eastAsia" w:ascii="仿宋" w:hAnsi="仿宋" w:eastAsia="仿宋" w:cs="仿宋"/>
          <w:b w:val="0"/>
          <w:bCs/>
          <w:lang w:val="en-US" w:eastAsia="zh-CN"/>
        </w:rPr>
        <w:t>各项工作顺利开展，进一步增强了工会组织的影响力，努力把全县工会组织建设成为“忠诚之家”、“筑梦之家”、“幸福之家”、“活力之家”。</w:t>
      </w:r>
    </w:p>
    <w:p>
      <w:pPr>
        <w:numPr>
          <w:numId w:val="0"/>
        </w:numPr>
        <w:spacing w:line="580" w:lineRule="exact"/>
        <w:ind w:leftChars="200"/>
        <w:rPr>
          <w:rFonts w:hint="eastAsia" w:ascii="仿宋_GB2312" w:hAnsi="仿宋_GB2312" w:cs="仿宋_GB2312"/>
          <w:b/>
          <w:bCs/>
          <w:szCs w:val="32"/>
        </w:rPr>
      </w:pPr>
      <w:r>
        <w:rPr>
          <w:rFonts w:hint="eastAsia" w:ascii="仿宋_GB2312" w:hAnsi="仿宋_GB2312" w:cs="仿宋_GB2312"/>
          <w:b/>
          <w:bCs/>
          <w:szCs w:val="32"/>
          <w:lang w:val="en-US" w:eastAsia="zh-CN"/>
        </w:rPr>
        <w:t>五、</w:t>
      </w:r>
      <w:r>
        <w:rPr>
          <w:rFonts w:hint="eastAsia" w:ascii="仿宋_GB2312" w:hAnsi="仿宋_GB2312" w:cs="仿宋_GB2312"/>
          <w:b/>
          <w:bCs/>
          <w:szCs w:val="32"/>
        </w:rPr>
        <w:t>主要经验及做法、存在的问题及原因分析</w:t>
      </w:r>
    </w:p>
    <w:p>
      <w:pPr>
        <w:numPr>
          <w:ilvl w:val="0"/>
          <w:numId w:val="0"/>
        </w:numPr>
        <w:spacing w:line="540" w:lineRule="exact"/>
        <w:ind w:firstLine="640" w:firstLineChars="200"/>
        <w:rPr>
          <w:rFonts w:hint="eastAsia" w:ascii="仿宋" w:hAnsi="仿宋" w:eastAsia="仿宋" w:cs="仿宋"/>
          <w:b w:val="0"/>
          <w:bCs/>
          <w:lang w:val="en-US" w:eastAsia="zh-CN"/>
        </w:rPr>
      </w:pPr>
      <w:r>
        <w:rPr>
          <w:rFonts w:hint="eastAsia" w:ascii="仿宋" w:hAnsi="仿宋" w:eastAsia="仿宋" w:cs="仿宋"/>
          <w:b w:val="0"/>
          <w:bCs/>
          <w:lang w:val="en-US" w:eastAsia="zh-CN"/>
        </w:rPr>
        <w:t>为了做好预算绩效管理工作，我单位制定了具体措施，确定了专人负责，有效开展绩效管理工作。同时，加大了预算绩效的宣传力度，发现问题及时更正，保证了资金的安全和部门整体支出的正常运行。</w:t>
      </w:r>
    </w:p>
    <w:p>
      <w:pPr>
        <w:numPr>
          <w:ilvl w:val="0"/>
          <w:numId w:val="0"/>
        </w:numPr>
        <w:spacing w:line="540" w:lineRule="exact"/>
        <w:ind w:firstLine="640" w:firstLineChars="200"/>
        <w:rPr>
          <w:rFonts w:hint="eastAsia" w:ascii="仿宋_GB2312" w:hAnsi="仿宋_GB2312" w:cs="仿宋_GB2312"/>
          <w:b/>
          <w:bCs/>
          <w:szCs w:val="32"/>
        </w:rPr>
      </w:pPr>
      <w:r>
        <w:rPr>
          <w:rFonts w:hint="eastAsia" w:ascii="仿宋" w:hAnsi="仿宋" w:eastAsia="仿宋" w:cs="仿宋"/>
          <w:b w:val="0"/>
          <w:bCs/>
          <w:lang w:val="en-US" w:eastAsia="zh-CN"/>
        </w:rPr>
        <w:t>2022年，较好的执行了宿松县总工会2022年度部门整体支出绩效目标，各项支出都严格按预算要求执行。同时，按部门预算科学合理使用财政资金，充分发挥资金利用效率。</w:t>
      </w:r>
    </w:p>
    <w:p>
      <w:pPr>
        <w:widowControl w:val="0"/>
        <w:numPr>
          <w:numId w:val="0"/>
        </w:numPr>
        <w:spacing w:line="540" w:lineRule="exact"/>
        <w:ind w:leftChars="200"/>
        <w:rPr>
          <w:rFonts w:hint="eastAsia" w:ascii="仿宋_GB2312" w:hAnsi="仿宋_GB2312" w:cs="仿宋_GB2312"/>
          <w:b/>
          <w:bCs/>
          <w:szCs w:val="32"/>
        </w:rPr>
      </w:pPr>
      <w:r>
        <w:rPr>
          <w:rFonts w:hint="eastAsia" w:ascii="仿宋_GB2312" w:hAnsi="仿宋_GB2312" w:cs="仿宋_GB2312"/>
          <w:b/>
          <w:bCs/>
          <w:szCs w:val="32"/>
          <w:lang w:val="en-US" w:eastAsia="zh-CN"/>
        </w:rPr>
        <w:t>六、</w:t>
      </w:r>
      <w:r>
        <w:rPr>
          <w:rFonts w:hint="eastAsia" w:ascii="仿宋_GB2312" w:hAnsi="仿宋_GB2312" w:cs="仿宋_GB2312"/>
          <w:b/>
          <w:bCs/>
          <w:szCs w:val="32"/>
        </w:rPr>
        <w:t>有关建议</w:t>
      </w:r>
    </w:p>
    <w:p>
      <w:pPr>
        <w:widowControl w:val="0"/>
        <w:numPr>
          <w:ilvl w:val="0"/>
          <w:numId w:val="0"/>
        </w:numPr>
        <w:spacing w:line="540" w:lineRule="exact"/>
        <w:ind w:firstLine="640" w:firstLineChars="200"/>
        <w:rPr>
          <w:rFonts w:hint="eastAsia" w:ascii="仿宋_GB2312" w:hAnsi="黑体" w:eastAsia="仿宋_GB2312" w:cs="黑体"/>
          <w:sz w:val="32"/>
          <w:szCs w:val="32"/>
        </w:rPr>
      </w:pPr>
      <w:r>
        <w:rPr>
          <w:rFonts w:hint="eastAsia" w:ascii="仿宋" w:hAnsi="仿宋" w:eastAsia="仿宋" w:cs="仿宋"/>
          <w:b w:val="0"/>
          <w:bCs/>
          <w:lang w:val="en-US" w:eastAsia="zh-CN"/>
        </w:rPr>
        <w:t>下一步，将加大宣传力度，开展学习和培训活动，提升预算绩效管理相关人员业务素质和思想认识。将绩效评价融入绩效管理的整个过程，提高绩效评价的效率和效果</w:t>
      </w:r>
      <w:r>
        <w:rPr>
          <w:rFonts w:hint="eastAsia" w:ascii="仿宋_GB2312" w:hAnsi="黑体" w:eastAsia="仿宋_GB2312" w:cs="黑体"/>
          <w:sz w:val="32"/>
          <w:szCs w:val="32"/>
        </w:rPr>
        <w:t>。</w:t>
      </w:r>
    </w:p>
    <w:p>
      <w:pPr>
        <w:spacing w:line="580" w:lineRule="exact"/>
        <w:ind w:firstLine="643" w:firstLineChars="200"/>
        <w:rPr>
          <w:rFonts w:hint="eastAsia" w:ascii="仿宋_GB2312" w:hAnsi="仿宋_GB2312" w:cs="仿宋_GB2312"/>
          <w:b/>
          <w:bCs/>
          <w:szCs w:val="32"/>
        </w:rPr>
      </w:pPr>
      <w:r>
        <w:rPr>
          <w:rFonts w:hint="eastAsia" w:ascii="仿宋_GB2312" w:hAnsi="仿宋_GB2312" w:cs="仿宋_GB2312"/>
          <w:b/>
          <w:bCs/>
          <w:szCs w:val="32"/>
        </w:rPr>
        <w:t>七、其他需要说明的问题</w:t>
      </w:r>
    </w:p>
    <w:p>
      <w:pPr>
        <w:ind w:firstLine="640" w:firstLineChars="200"/>
        <w:rPr>
          <w:rFonts w:hint="eastAsia" w:ascii="仿宋" w:hAnsi="仿宋" w:eastAsia="仿宋" w:cs="仿宋"/>
          <w:bCs/>
          <w:szCs w:val="32"/>
        </w:rPr>
      </w:pPr>
      <w:r>
        <w:rPr>
          <w:rFonts w:hint="eastAsia" w:ascii="仿宋" w:hAnsi="仿宋" w:eastAsia="仿宋" w:cs="仿宋"/>
          <w:sz w:val="32"/>
          <w:szCs w:val="32"/>
        </w:rPr>
        <w:t>预算执行情况。预算执行力度还要进一步加强。分析原因有以下几点：一是预算业务有待加强，缺乏经验，对相应指标的预估存在偏差；二是宣传力度不够</w:t>
      </w:r>
      <w:r>
        <w:rPr>
          <w:rFonts w:hint="eastAsia" w:ascii="仿宋" w:hAnsi="仿宋" w:eastAsia="仿宋" w:cs="仿宋"/>
          <w:sz w:val="32"/>
          <w:szCs w:val="32"/>
          <w:lang w:eastAsia="zh-CN"/>
        </w:rPr>
        <w:t>。</w:t>
      </w:r>
    </w:p>
    <w:p>
      <w:pPr>
        <w:pStyle w:val="2"/>
        <w:rPr>
          <w:rFonts w:hint="eastAsia"/>
          <w:lang w:val="en-US" w:eastAsia="zh-CN"/>
        </w:rPr>
      </w:pPr>
    </w:p>
    <w:p>
      <w:pPr>
        <w:rPr>
          <w:rFonts w:hint="eastAsia" w:ascii="仿宋" w:hAnsi="仿宋" w:eastAsia="仿宋" w:cs="仿宋"/>
          <w:bCs/>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2648B1-D2CC-4F66-A5AC-D5222AD7D489}"/>
  </w:font>
  <w:font w:name="黑体">
    <w:panose1 w:val="02010609060101010101"/>
    <w:charset w:val="86"/>
    <w:family w:val="auto"/>
    <w:pitch w:val="default"/>
    <w:sig w:usb0="800002BF" w:usb1="38CF7CFA" w:usb2="00000016" w:usb3="00000000" w:csb0="00040001" w:csb1="00000000"/>
    <w:embedRegular r:id="rId2" w:fontKey="{F4C88539-90DA-42D9-9EAE-A1A977671B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81A641A-B827-4A8D-A863-79E9913CE342}"/>
  </w:font>
  <w:font w:name="仿宋_GB2312">
    <w:altName w:val="仿宋"/>
    <w:panose1 w:val="02010609030101010101"/>
    <w:charset w:val="86"/>
    <w:family w:val="modern"/>
    <w:pitch w:val="default"/>
    <w:sig w:usb0="00000000" w:usb1="00000000" w:usb2="00000010" w:usb3="00000000" w:csb0="00040000" w:csb1="00000000"/>
    <w:embedRegular r:id="rId4" w:fontKey="{4988BC15-073F-41A2-AD0C-4AE3D998C1C4}"/>
  </w:font>
  <w:font w:name="方正小标宋_GBK">
    <w:altName w:val="微软雅黑"/>
    <w:panose1 w:val="03000509000000000000"/>
    <w:charset w:val="86"/>
    <w:family w:val="script"/>
    <w:pitch w:val="default"/>
    <w:sig w:usb0="00000000" w:usb1="00000000" w:usb2="00000010" w:usb3="00000000" w:csb0="00040000" w:csb1="00000000"/>
    <w:embedRegular r:id="rId5" w:fontKey="{4EC90A6B-0A9E-47F4-BA8D-E8511F9B24E5}"/>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5402C113-2594-4DCA-8F80-BF04C7D23347}"/>
  </w:font>
  <w:font w:name="方正小标宋简体">
    <w:panose1 w:val="02000000000000000000"/>
    <w:charset w:val="86"/>
    <w:family w:val="script"/>
    <w:pitch w:val="default"/>
    <w:sig w:usb0="00000001" w:usb1="08000000" w:usb2="00000000" w:usb3="00000000" w:csb0="00040000" w:csb1="00000000"/>
    <w:embedRegular r:id="rId7" w:fontKey="{F3F67CE7-1633-4AB2-AD82-7F3A4E491754}"/>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BD649"/>
    <w:multiLevelType w:val="singleLevel"/>
    <w:tmpl w:val="F28BD649"/>
    <w:lvl w:ilvl="0" w:tentative="0">
      <w:start w:val="3"/>
      <w:numFmt w:val="chineseCounting"/>
      <w:suff w:val="nothing"/>
      <w:lvlText w:val="%1、"/>
      <w:lvlJc w:val="left"/>
      <w:rPr>
        <w:rFonts w:hint="eastAsia"/>
      </w:rPr>
    </w:lvl>
  </w:abstractNum>
  <w:abstractNum w:abstractNumId="1">
    <w:nsid w:val="107EDE96"/>
    <w:multiLevelType w:val="singleLevel"/>
    <w:tmpl w:val="107EDE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WQyOWZmNTI3MTQxZWFiMWY1YTIxZGMyOTc0ZGYifQ=="/>
  </w:docVars>
  <w:rsids>
    <w:rsidRoot w:val="00000000"/>
    <w:rsid w:val="039C3507"/>
    <w:rsid w:val="0AB24B18"/>
    <w:rsid w:val="334E1173"/>
    <w:rsid w:val="4C8D413E"/>
    <w:rsid w:val="70A3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2023-09-10T14:39:00Z</dcterms:created>
  <dc:creator>lenovo</dc:creator>
  <cp:lastModifiedBy>12号～野蛮生长</cp:lastModifiedBy>
  <dcterms:modified xsi:type="dcterms:W3CDTF">2023-10-18T03:36:24Z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763E22745B9C4D9D88FBEC576777528A_13</vt:lpwstr>
  </property>
</Properties>
</file>